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7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0"/>
        <w:gridCol w:w="308"/>
        <w:gridCol w:w="2203"/>
        <w:gridCol w:w="1030"/>
        <w:gridCol w:w="1030"/>
        <w:gridCol w:w="286"/>
        <w:gridCol w:w="828"/>
        <w:gridCol w:w="220"/>
        <w:gridCol w:w="1030"/>
        <w:gridCol w:w="1030"/>
        <w:gridCol w:w="2339"/>
        <w:gridCol w:w="252"/>
      </w:tblGrid>
      <w:tr w:rsidR="0061157A" w:rsidRPr="0036028F">
        <w:trPr>
          <w:trHeight w:val="188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8D513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057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8D5134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Аналитический отчет об оказании услуги по сбору, обобщению и анализу информации о качестве условий осуществления образовательной деятельности</w:t>
            </w:r>
          </w:p>
        </w:tc>
      </w:tr>
      <w:tr w:rsidR="0061157A" w:rsidRPr="0036028F">
        <w:trPr>
          <w:trHeight w:val="68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8D5134">
            <w:pPr>
              <w:pStyle w:val="normal"/>
              <w:spacing w:after="200"/>
              <w:ind w:left="60"/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57A" w:rsidRPr="0036028F">
        <w:trPr>
          <w:trHeight w:val="6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8D5134">
            <w:pPr>
              <w:pStyle w:val="normal"/>
              <w:spacing w:after="200"/>
              <w:ind w:left="60"/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8D5134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57A" w:rsidRPr="0036028F">
        <w:trPr>
          <w:trHeight w:val="8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8D5134">
            <w:pPr>
              <w:pStyle w:val="normal"/>
              <w:spacing w:after="200"/>
              <w:ind w:left="60"/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0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36028F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  <w:r w:rsidRPr="003602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6028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«</w:t>
            </w:r>
            <w:r w:rsidRPr="0036028F">
              <w:rPr>
                <w:rFonts w:ascii="Times New Roman" w:hAnsi="Times New Roman" w:cs="Times New Roman"/>
                <w:b/>
                <w:sz w:val="24"/>
                <w:szCs w:val="24"/>
              </w:rPr>
              <w:t>Малое инновационное предприятие «Научно-исследовательский институт социального развития и предпринимательства БГПУ им. М. Акмуллы»</w:t>
            </w:r>
          </w:p>
        </w:tc>
      </w:tr>
      <w:tr w:rsidR="0061157A" w:rsidRPr="0036028F">
        <w:trPr>
          <w:trHeight w:val="6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8D5134">
            <w:pPr>
              <w:pStyle w:val="normal"/>
              <w:spacing w:after="200"/>
              <w:ind w:left="60"/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4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57A" w:rsidRPr="0036028F">
        <w:trPr>
          <w:trHeight w:val="2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157A" w:rsidRPr="0036028F" w:rsidRDefault="0036028F">
      <w:pPr>
        <w:pStyle w:val="normal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noProof/>
          <w:color w:val="00000A"/>
          <w:sz w:val="24"/>
          <w:szCs w:val="24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51435</wp:posOffset>
            </wp:positionV>
            <wp:extent cx="1383030" cy="1389380"/>
            <wp:effectExtent l="19050" t="0" r="7620" b="0"/>
            <wp:wrapNone/>
            <wp:docPr id="4" name="Рисунок 4" descr="C:\Users\Admin\Downloads\мипооо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Admin\Downloads\мипооо (1)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5134" w:rsidRPr="003602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61157A" w:rsidRPr="0036028F" w:rsidRDefault="0036028F">
      <w:pPr>
        <w:pStyle w:val="normal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noProof/>
          <w:color w:val="00000A"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2197735</wp:posOffset>
            </wp:positionH>
            <wp:positionV relativeFrom="paragraph">
              <wp:posOffset>175260</wp:posOffset>
            </wp:positionV>
            <wp:extent cx="944245" cy="467995"/>
            <wp:effectExtent l="19050" t="0" r="8255" b="0"/>
            <wp:wrapNone/>
            <wp:docPr id="3" name="Рисунок 3" descr="C:\Users\Asus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12000" contrast="100000"/>
                              </a14:imgEffect>
                            </a14:imgLayer>
                          </a14:imgProps>
                        </a:ext>
                        <a:ext uri="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5134" w:rsidRPr="003602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tbl>
      <w:tblPr>
        <w:tblStyle w:val="a6"/>
        <w:tblW w:w="10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308"/>
        <w:gridCol w:w="3855"/>
        <w:gridCol w:w="220"/>
        <w:gridCol w:w="427"/>
        <w:gridCol w:w="2751"/>
        <w:gridCol w:w="220"/>
      </w:tblGrid>
      <w:tr w:rsidR="0061157A" w:rsidRPr="0036028F">
        <w:trPr>
          <w:trHeight w:val="128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8D5134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Генеральный директор</w:t>
            </w:r>
          </w:p>
          <w:tbl>
            <w:tblPr>
              <w:tblStyle w:val="a7"/>
              <w:tblW w:w="270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2705"/>
            </w:tblGrid>
            <w:tr w:rsidR="0061157A" w:rsidRPr="0036028F">
              <w:trPr>
                <w:trHeight w:val="1000"/>
              </w:trPr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1157A" w:rsidRPr="0036028F" w:rsidRDefault="0061157A">
                  <w:pPr>
                    <w:pStyle w:val="normal"/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a8"/>
              <w:tblW w:w="1078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10781"/>
            </w:tblGrid>
            <w:tr w:rsidR="0061157A" w:rsidRPr="0036028F">
              <w:trPr>
                <w:trHeight w:val="860"/>
              </w:trPr>
              <w:tc>
                <w:tcPr>
                  <w:tcW w:w="73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1157A" w:rsidRPr="0036028F" w:rsidRDefault="0061157A">
                  <w:pPr>
                    <w:pStyle w:val="normal"/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157A" w:rsidRPr="0036028F" w:rsidRDefault="0061157A">
                  <w:pPr>
                    <w:pStyle w:val="normal"/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157A" w:rsidRPr="0036028F" w:rsidRDefault="0036028F">
                  <w:pPr>
                    <w:pStyle w:val="normal"/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6028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Г.И. Калимуллина </w:t>
                  </w:r>
                </w:p>
              </w:tc>
            </w:tr>
          </w:tbl>
          <w:p w:rsidR="0061157A" w:rsidRPr="0036028F" w:rsidRDefault="0061157A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57A" w:rsidRPr="0036028F">
        <w:trPr>
          <w:trHeight w:val="86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57A" w:rsidRPr="0036028F">
        <w:trPr>
          <w:trHeight w:val="62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57A" w:rsidRPr="0036028F">
        <w:trPr>
          <w:trHeight w:val="172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157A" w:rsidRPr="0036028F" w:rsidRDefault="0061157A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:rsidR="0036028F" w:rsidRPr="0036028F" w:rsidRDefault="0036028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РЕЙТИНГ ОРГАНИЗАЦИЙ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038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75"/>
        <w:gridCol w:w="1305"/>
      </w:tblGrid>
      <w:tr w:rsidR="0036028F" w:rsidRPr="0036028F">
        <w:trPr>
          <w:trHeight w:val="1200"/>
        </w:trPr>
        <w:tc>
          <w:tcPr>
            <w:tcW w:w="9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0,4444444444</w:t>
            </w:r>
          </w:p>
        </w:tc>
        <w:tc>
          <w:tcPr>
            <w:tcW w:w="1305" w:type="dxa"/>
            <w:tcBorders>
              <w:top w:val="single" w:sz="6" w:space="0" w:color="B7B7B7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Sn - Показатель оценки качества по организации социальной сферы, в отношении которой проведена независимая оценка качества</w:t>
            </w:r>
          </w:p>
        </w:tc>
      </w:tr>
      <w:tr w:rsidR="0036028F" w:rsidRPr="0036028F">
        <w:trPr>
          <w:trHeight w:val="300"/>
        </w:trPr>
        <w:tc>
          <w:tcPr>
            <w:tcW w:w="9075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72,64</w:t>
            </w:r>
          </w:p>
        </w:tc>
      </w:tr>
      <w:tr w:rsidR="0036028F" w:rsidRPr="0036028F">
        <w:trPr>
          <w:trHeight w:val="300"/>
        </w:trPr>
        <w:tc>
          <w:tcPr>
            <w:tcW w:w="9075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центр развития ребенка - детский сад №28 «Родничок» города Ишимбая муниципального района Ишимбайский район Республики Башкортостан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75,92</w:t>
            </w:r>
          </w:p>
        </w:tc>
      </w:tr>
      <w:tr w:rsidR="0036028F" w:rsidRPr="0036028F">
        <w:trPr>
          <w:trHeight w:val="300"/>
        </w:trPr>
        <w:tc>
          <w:tcPr>
            <w:tcW w:w="9075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Петровское муниципального района Ишимбайский район Республики Башкортостан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77,92</w:t>
            </w:r>
          </w:p>
        </w:tc>
      </w:tr>
      <w:tr w:rsidR="0036028F" w:rsidRPr="0036028F">
        <w:trPr>
          <w:trHeight w:val="300"/>
        </w:trPr>
        <w:tc>
          <w:tcPr>
            <w:tcW w:w="9075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78,30</w:t>
            </w:r>
          </w:p>
        </w:tc>
      </w:tr>
      <w:tr w:rsidR="0036028F" w:rsidRPr="0036028F">
        <w:trPr>
          <w:trHeight w:val="300"/>
        </w:trPr>
        <w:tc>
          <w:tcPr>
            <w:tcW w:w="9075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«Теремок» общеразвивающего вида села Петровское муниципального района Ишимбайский район Республики Башкортостан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79,20</w:t>
            </w:r>
          </w:p>
        </w:tc>
      </w:tr>
      <w:tr w:rsidR="0036028F" w:rsidRPr="0036028F">
        <w:trPr>
          <w:trHeight w:val="300"/>
        </w:trPr>
        <w:tc>
          <w:tcPr>
            <w:tcW w:w="9075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№11 с углубленным изучением отдельных предметов г. Ишимбая муниципального района Ишимбайский район Республики Башкортостан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83,22</w:t>
            </w:r>
          </w:p>
        </w:tc>
      </w:tr>
      <w:tr w:rsidR="0036028F" w:rsidRPr="0036028F">
        <w:trPr>
          <w:trHeight w:val="300"/>
        </w:trPr>
        <w:tc>
          <w:tcPr>
            <w:tcW w:w="9075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Башкирская гимназия-интернат №2 им. Ахметзаки Валиди г. Ишимбая муниципального района Ишимбайский район Республики Башкортостан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028F" w:rsidRPr="0036028F" w:rsidRDefault="0036028F">
            <w:pPr>
              <w:pStyle w:val="normal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91,02</w:t>
            </w:r>
          </w:p>
        </w:tc>
      </w:tr>
    </w:tbl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28F">
        <w:rPr>
          <w:rFonts w:ascii="Times New Roman" w:hAnsi="Times New Roman" w:cs="Times New Roman"/>
          <w:sz w:val="24"/>
          <w:szCs w:val="24"/>
        </w:rPr>
        <w:br w:type="page"/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ВЫВОДЫ И РЕКОМЕНДАЦИИ ПО РЕЗУЛЬТАТАМ СБОРА, ОБОБЩЕНИЯ И АНАЛИЗА ИНФОРМАЦИИ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t>1) РЕЗУЛЬТАТЫ СБОРА, ОБОБЩЕНИЯ И АНАЛИЗА ИНФОРМАЦИИ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t xml:space="preserve"> О НАЛИЧИИ В ОРГАНИЗАЦИЯХ КОМФОРТНЫХ УСЛОВИЙ ОКАЗАНИЯ УСЛУГ 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проведенной процедуры изучены условия оказания услуг. Необходимо отметить, что в организациях не в полном объеме обеспечены комфортные условия оказания услуг. Необходимо обеспечить следующие условия: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0873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340"/>
        <w:gridCol w:w="8533"/>
      </w:tblGrid>
      <w:tr w:rsidR="0061157A" w:rsidRPr="0036028F" w:rsidTr="0036028F">
        <w:trPr>
          <w:trHeight w:val="64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</w:t>
            </w:r>
          </w:p>
        </w:tc>
        <w:tc>
          <w:tcPr>
            <w:tcW w:w="8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tabs>
                <w:tab w:val="right" w:pos="62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ьное бюджетное общеобразовательное учреждение средняя общеобразовательная школа №11 с углубленным изучением отдельных предметов г. Ишимбая муниципального района Ишимбайский район Республики Башкортостан; Муниципальное автономное дошкольное образовательное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Муниципальное автономное дошкольное образовательное учреждение центр развития ребенка - детский сад №28 «Родничок»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Ишимбая муниципального района Ишимбайский район Республики Башкортостан; Муниципальное бюджетное дошкольное образовательное учреждение детский сад «Теремок» общеразвивающего вида села Петровское муниципального района Ишимбайский район Республики Баш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 w:rsidTr="0036028F">
        <w:trPr>
          <w:trHeight w:val="64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ть навигации внутри организации</w:t>
            </w:r>
          </w:p>
        </w:tc>
        <w:tc>
          <w:tcPr>
            <w:tcW w:w="8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Петровское муниципального района Ишимбайский район Республики Башкортостан; Муниципальное бюджетное образовательное учреждение доп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 w:rsidTr="0036028F">
        <w:trPr>
          <w:trHeight w:val="7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8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 w:rsidTr="0036028F">
        <w:trPr>
          <w:trHeight w:val="5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8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Петровское муниципального района Ишимбайский район Республики Башкортостан; Муниципальное бюджетное образовательное учреждение дополнительного образования детей (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 w:rsidTr="0036028F">
        <w:trPr>
          <w:trHeight w:val="64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организации</w:t>
            </w:r>
          </w:p>
        </w:tc>
        <w:tc>
          <w:tcPr>
            <w:tcW w:w="8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</w:tbl>
    <w:p w:rsidR="0036028F" w:rsidRDefault="0036028F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8F" w:rsidRDefault="0036028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2) РЕЗУЛЬТАТЫ СБОРА, ОБОБЩ</w:t>
      </w: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t xml:space="preserve">ЕНИЯ И АНАЛИЗА ИНФОРМАЦИИ 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t>О ДОСТУПНОСТИ УСЛУГ ДЛЯ ИНВАЛИДОВ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На недостаточном уровне находятся значения показателей, касающихся оборудования помещений организации социальной сферы и прилегающей к ней территории с учетом доступности для инвалидов, а также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условий доступности, позволяющих инвалидам получать услуги наравне с другими.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Так, необходимо принять меры по оборудованию территории, прилегающей к зданиям организации, и помещений с учетом доступности для инвалидов, а именно: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056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80"/>
        <w:gridCol w:w="8280"/>
      </w:tblGrid>
      <w:tr w:rsidR="0061157A" w:rsidRPr="0036028F">
        <w:trPr>
          <w:trHeight w:val="1540"/>
        </w:trPr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пандусами (подъемными платформами)</w:t>
            </w:r>
          </w:p>
        </w:tc>
        <w:tc>
          <w:tcPr>
            <w:tcW w:w="8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№11 с углубленным изучением отдельных предметов г. Ишимбая муниципального района Ишимбайский район Республики Башкортостан; Муницип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Муниципальное автономное дошкольное образовательное учреждение центр р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азвития ребенка - детский сад №28 «Родничок» города Ишимбая муниципального района Ишимбайский район Республики Башкортостан; Муниципальное бюджетное дошкольное образовательное учреждение детский сад «Теремок» общеразвивающего вида села Петровское муниципал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 района Ишимбайский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Башкортостан;</w:t>
            </w:r>
          </w:p>
        </w:tc>
      </w:tr>
      <w:tr w:rsidR="0061157A" w:rsidRPr="0036028F">
        <w:trPr>
          <w:trHeight w:val="680"/>
        </w:trPr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Петровское муниципального района Ишимбайский район Республики Башкортостан; Муниципальное автономное дошкольное образовательное учреждение детский сад №23 «Светля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чок» общеразвивающего вида города Ишимбая муниципального района Ишимбайский район Республики Башкортостан; Муниципальное автономное дошкольное образовательное учреждение центр развития ребенка - детский сад №28 «Родничок» города Ишимбая муниципального райо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 Ишимбайский район Республики Башкортостан; Муниципальное бюджетное дошкольное образовательное учреждение детский сад «Теремок» общеразвивающего вида села Петровское муниципального района Ишимбайский район Республики Башкортостан; Муниципальное бюджетное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1280"/>
        </w:trPr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дверных проемов</w:t>
            </w:r>
          </w:p>
        </w:tc>
        <w:tc>
          <w:tcPr>
            <w:tcW w:w="8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Петровское муниципального района Ишимбайский район Республики Башкортостан; Муниципальное автономное дошкольное образовательное учреждение детский сад №23 «Светля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чок» общеразвивающего вида города Ишимбая муниципального района Ишимбайский район Республики Башкортостан; Муниципальное автономное дошкольное образовательное учреждение центр развития ребенка - детский сад №28 «Родничок» города Ишимбая муниципального райо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Ишимбайский район Республики Башкортостан; Муниципальное бюджетное дошкольное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образовательное учреждение детский сад «Теремок» общеразвивающего вида села Петровское муниципального района Ишимбайский район Республики Башкортостан; Муниципальное бюджетное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360"/>
        </w:trPr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сменных кресел-колясок</w:t>
            </w:r>
          </w:p>
        </w:tc>
        <w:tc>
          <w:tcPr>
            <w:tcW w:w="8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ое общеобразовательное учреждение средняя общеобразовательная школа №11 с углубленным изучением отдельных предметов г. Ишимбая муниципального района Ишимбайский район Республики Башкортостан; Муниципальное бюджетное общеобразовательное учреждение средняя о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бщеобразовательная школа села Петровское муниципального района Ишимбайский район Республики Башкортостан; 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Ишимбайский район Республики Башкортостан; Муниципальное автономное дошкольное образовательное учреждение центр развития ребенка - детский сад №28 «Родничок» города Ишимбая муниципального района Ишимбайский район Республики Башкортостан; Муниципальное бюдж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етное дошкольное образовательное учреждение детский сад «Теремок» общеразвивающего вида села Петровское муниципального района Ишимбайский район Республики Башкортостан; Муниципальное бюджетное образовательное учреждение дополнительного образования детей (в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700"/>
        </w:trPr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Петровское муниципального района Ишимбайский район Республики Башкортостан; Муниципальное автономное дошкольное образовательное учреждение детский сад №23 «Светля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чок» общеразвивающего вида города Ишимбая муниципального района Ишимбайский район Республики Башкортостан; Муниципальное автономное дошкольное образовательное учреждение центр развития ребенка - детский сад №28 «Родничок» города Ишимбая муниципального райо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 Ишимбайский район Республики Башкортостан; Муниципальное бюджетное дошкольное образовательное учреждение детский сад «Теремок» общеразвивающего вида села Петровское муниципального района Ишимбайский район Республики Башкортостан; Муниципальное бюджетное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Также необходимо принять меры по обеспечению услови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й доступности, позволяющих инвалидам получать услуги наравне с другими, а именно: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053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50"/>
        <w:gridCol w:w="8280"/>
      </w:tblGrid>
      <w:tr w:rsidR="0061157A" w:rsidRPr="0036028F">
        <w:trPr>
          <w:trHeight w:val="94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№11 с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углубленным изучением отдельных предметов г. Ишимбая муниципального района Ишимбайский район Республики Башкортостан; Муниципальное бюджетное общеобразовательное учреждение средняя общеобразовательная школа села Петровское муниципального района Ишимбайский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Башкортостан; Муниципальное автономное дошкольное образовательное учреждение детский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сад №23 «Светлячок» общеразвивающего вида города Ишимбая муниципального района Ишимбайский район Республики Башкортостан; Муниципальное автономное дошкол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ьное образовательное учреждение центр развития ребенка - детский сад №28 «Родничок» города Ишимбая муниципального района Ишимбайский район Республики Башкортостан; Муниципальное бюджетное дошкольное образовательное учреждение детский сад «Теремок» общеразв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ивающего вида села Петровское муниципального района Ишимбайский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188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№11 с углубленным изучением отдельных предметов г. Ишимбая муниципального района Ишимбайский район Республики Башкортостан; Муниципальное бюджетное общеобразовательное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 Башкирская гимназия-интернат №2 им. Ахметзаки Валиди г. Ишимбая муниципального района Ишимбайский район Республики Башкортостан; Муниципальное бюджетное общеобразовательное учреждение средняя общеобразовательная школа села Петровское муниципаль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района Ишимбайский район Республики Башкортостан; 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льное автономное дошкольное образовательное учреждение центр развития ребенка - детский сад №28 «Родничок» города Ишимбая муниципального района Ишимбайский район Республики Башкортостан; Муниципальное бюджетное дошкольное образовательное учреждение детский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 «Теремок» общеразвивающего вида села Петровское муниципального района Ишимбайский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92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№11 с углубленным изучением отдельных предметов г. Ишимбая муниципального района Ишимбайский район Республики Башкортостан; Муниципальное бюджетное общеобразовательное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 Башкирская гимназия-интернат №2 им. Ахметзаки Валиди г. Ишимбая муниципального района Ишимбайский район Республики Башкортостан; Муниципальное бюджетное общеобразовательное учреждение средняя общеобразовательная школа села Петровское муниципаль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района Ишимбайский район Республики Башкортостан; 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льное автономное дошкольное образовательное учреждение центр развития ребенка - детский сад №28 «Родничок» города Ишимбая муниципального района Ишимбайский район Республики Башкортостан; Муниципальное бюджетное дошкольное образовательное учреждение детский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 «Теремок» общеразвивающего вида села Петровское муниципального района Ишимбайский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детского (юношеского)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74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альтернативной версии сайта организации для инвалидов по зрению</w:t>
            </w:r>
          </w:p>
        </w:tc>
        <w:tc>
          <w:tcPr>
            <w:tcW w:w="8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№11 с углублен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ным изучением отдельных предметов г. Ишимбая муниципального района Ишимбайский район Республики Башкортостан; Муниципальное бюджетное общеобразовательное учреждение средняя общеобразовательная школа села Петровское муниципального района Ишимбайский район Р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еспублики Башкортостан; 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Муниципальное автономное дошкольное обр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азовательное учреждение центр развития ребенка - детский сад №28 «Родничок» города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104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8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№11 с углубленным и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зучением отдельных предметов г. Ишимбая муниципального района Ишимбайский район Республики Башкортостан; Муниципальное бюджетное общеобразовательное учреждение средняя общеобразовательная школа села Петровское муниципального района Ишимбайский район Респуб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лики Башкортостан; 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Муниципальное автономное дошкольное образова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тельное учреждение центр развития ребенка - детский сад №28 «Родничок» города Ишимбая муниципального района Ишимбайский район Республики Башкортостан; Муниципальное бюджетное дошкольное образовательное учреждение детский сад «Теремок» общеразвивающего вида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села Петровское муниципального района Ишимбайский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 района Ишимбайский район Республики Башкортостан;</w:t>
            </w:r>
          </w:p>
        </w:tc>
      </w:tr>
      <w:tr w:rsidR="0061157A" w:rsidRPr="0036028F">
        <w:trPr>
          <w:trHeight w:val="12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8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Башкирская гимназия-интернат №2 им. Ахметзаки Валиди г. Ишимбая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Ишимбайский район Республики Башкортостан; 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; Муниципальное автономное дошкольное образовательное учреждение центр развития ребенка - детский сад №28 «Родничок» города Ишимбая муниципального района Ишимбайский район Республики Башкортостан; Муниципальное бюджетное дошкольное образовательное учрежден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ие детский сад «Теремок» общеразвивающего вида села Петровское муниципального района Ишимбайский район Республики Башкортостан;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hAnsi="Times New Roman" w:cs="Times New Roman"/>
          <w:sz w:val="24"/>
          <w:szCs w:val="24"/>
        </w:rPr>
        <w:br w:type="page"/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3) РЕЗУЛЬТАТЫ СБОРА, ОБОБЩЕНИЯ И АНАЛИЗА ИНФОРМАЦИИ О СООТВЕТСТВИИ САЙТОВ УСТАНОВЛЕННЫМ ТРЕБОВАНИЯМ В ЧАСТИ РАЗМЕЩЕНИЯ ОБЯЗАТЕЛЬНОЙ ИНФОРМАЦИИ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 (далее – ФЗ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-273) образовательные организации (далее – ОО) должны обеспечивать открытость и доступность информации о своей деятельности посредством обеспечения размещения информации в информационно-телекоммуникационных сетях, в том числе на официальном сайте образоват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ельной организации в сети «Интернет» (далее – официальный сайт). Правила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утверждены пост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ановлением Правительства Российской Федерации от 10.07.2013 № 582 (далее – ПП РФ №582).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 от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ражены в приказе Рособрнадзора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нём информации», зарегистрирован Минюст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ом России 04.08.2014, регистрационный № 33423 (далее – приказ РОН №785).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Требуемое количество единиц информации для размещения на сайте организации, осуществляющей образовательную деятельность - 46.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Анализируемые единицы информации: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 дате создания образовательной организации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об учредителе, учредителях образовательной организации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месте нахождения образовательной организации и ее филиалов (при наличии)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режиме, графике работ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контактных телефонах и об адресах электронной почты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Сведения о положениях о структурных подразделениях (об органах управления) с приложением копий указанных положений (при их наличии))*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Устав образовательной организации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Лицензии на осуществление образовательной деятельности (с приложениями)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Свидетельства о государственной аккредитации (с приложениями)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План финансово-хозяйственной деятельности образовательной организации, утвержденного в установл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енном законодательством Российской Федерации порядке, или бюджетные сметы образовательной организации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Локальные нормативные акты по основным вопросам организации и осуществления образовательной деятельности, в том числе регламентирующие правила пр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обучающихся, порядок оформления возникновения, прио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Правила внутреннего распорядка обучающихся, правила внутреннего трудового распоряд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ка и коллективный договор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Отчет о результатах самообследования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сти обучения по каждой образовательной программе*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Предписания органов, осуществляющих государственный контроль (надзор) в сфере образования, отчеты об исполнении таких предписаний (при наличии)*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реализуемых уровнях образовани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формах обучения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нормативных сроках обучения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сроке действия государственной аккредитации образовательных программ (при наличии государственной аккредитации)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-        Информация об описании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образовательных программ с приложением их копий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об учебных планах реализуемых образовательных программ с приложением их копий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Аннотации к рабочим программам дисциплин (по каждой дисциплине в составе образовательной программы) с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 приложением их копий (при наличии)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календарных учебных графиках с приложением их копий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методических и иных документах, разработанных образовательной организацией для обеспечения образовательного процесса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 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об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численности обучающихся по реализуемым образовательным программам за счет бюджетных ассигн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языках, на которых осуществляется образование (обучение)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-       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Образовательные организации, реализующие общеобразовательные программы, дополнительно указывают наименование образовательной программы*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Уровень образования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федеральных государственных образовательных стандартах и об образоват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телей; контактные телефоны; адреса электронной почты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lastRenderedPageBreak/>
        <w:t>-       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ий стаж работы; стаж работы по специальности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рта, средств обучения и воспитания, в том числе приспособленных для использования инвалидами и лицами с ограниченными возможностями здоровья;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обеспечении доступа в здания образовательной организации инвалидов и лиц с ограниченными воз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можностями здоровья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условиях питания обучающихся, в том числе инвалидов и лиц с ограниченными возможностями здоровья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об условиях охраны здоровья обучающихся, в том числе инвалидов и лиц с ограниченными возможностями здоровья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-        Информация о доступе к информационным системам и информационно-телекоммуникационным сетям, в том числе приспособленным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для использования инвалидами и лицами с ограниченными возможностями здоровья;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ниченными возможностями здоровья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наличии и условиях предоста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вления обучающимся стипендий, мер социальной поддержки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ернате для иногородних обучающихся, формировании платы за проживание в общежитии (при наличии)*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наличии и порядке оказания платных образовательных услуг (при наличии)*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об объеме образовательной деятельности, финанс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пос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туплении финансовых и материальных средств и об их расходовании по итогам финансового года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Количество организаций, на сайтах которых отсут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ствует (не соответствует требованиям) обязательная к размещению информация: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05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970"/>
        <w:gridCol w:w="1605"/>
      </w:tblGrid>
      <w:tr w:rsidR="0061157A" w:rsidRPr="0036028F">
        <w:trPr>
          <w:trHeight w:val="40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дате создания образовательной организации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42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учредителе, учредителях образовательной организации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40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месте нахождения образовательной организации и ее филиалов (при наличии)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3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режиме, графике работы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38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90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42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положениях о структурных подразделениях (об органах управления) с приложением копий указанных положений (при их наличии))*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157A" w:rsidRPr="0036028F">
        <w:trPr>
          <w:trHeight w:val="3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40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40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Свидетельства о государственной аккредитации (с приложениями)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62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12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представителями) несовершеннолетних обучающихся.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1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внутреннего распорядка обучающихся, правила внутреннего трудового распорядка и коллективный договор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2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результатах самообследования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38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программе*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6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Предписания органов, осущест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вляющих государственный контроль (надзор) в сфере образования, отчеты об исполнении таких предписаний (при наличии)*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32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реализуемых уровнях образования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1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формах обучения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32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нормативных сроках обучения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2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18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описании образовательных программ с приложением их копий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30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157A" w:rsidRPr="0036028F">
        <w:trPr>
          <w:trHeight w:val="2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57A" w:rsidRPr="0036028F">
        <w:trPr>
          <w:trHeight w:val="1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календарных учебных графиках с приложением их копий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157A" w:rsidRPr="0036028F">
        <w:trPr>
          <w:trHeight w:val="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157A" w:rsidRPr="0036028F">
        <w:trPr>
          <w:trHeight w:val="6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об и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57A" w:rsidRPr="0036028F">
        <w:trPr>
          <w:trHeight w:val="3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ридических лиц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2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языках, на которых осуществляется образование (обучение)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2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программы*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157A" w:rsidRPr="0036028F">
        <w:trPr>
          <w:trHeight w:val="28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52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стандартов размещать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гиперссылки на соответствующие документы на сайте Минобрнауки России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9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9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4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инвалидами и лицами с ограниченными возможностями здоровья;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157A" w:rsidRPr="0036028F">
        <w:trPr>
          <w:trHeight w:val="1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обеспечении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57A" w:rsidRPr="0036028F">
        <w:trPr>
          <w:trHeight w:val="2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2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об условиях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157A" w:rsidRPr="0036028F">
        <w:trPr>
          <w:trHeight w:val="4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157A" w:rsidRPr="0036028F">
        <w:trPr>
          <w:trHeight w:val="38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157A" w:rsidRPr="0036028F">
        <w:trPr>
          <w:trHeight w:val="64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наличии специальных технических средст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57A" w:rsidRPr="0036028F">
        <w:trPr>
          <w:trHeight w:val="12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наличии и условиях предоставления обучающимся стипендий, мер социальной поддержки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157A" w:rsidRPr="0036028F">
        <w:trPr>
          <w:trHeight w:val="9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ание в общежитии (при наличии)*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57A" w:rsidRPr="0036028F">
        <w:trPr>
          <w:trHeight w:val="28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наличии и порядке оказания платных образовательных услуг (при наличии)*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6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и (или) юридических лиц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57A" w:rsidRPr="0036028F">
        <w:trPr>
          <w:trHeight w:val="16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157A" w:rsidRPr="0036028F">
        <w:trPr>
          <w:trHeight w:val="800"/>
        </w:trPr>
        <w:tc>
          <w:tcPr>
            <w:tcW w:w="8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В индивидуальных отчетах для каждой организации приводится таблица с указанием размещенной и отсутствующей на сайте информации. 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Таким образом, анализ сайтов организаций, осуществляющих образовательную деятельность, выявил определенное количество несоответствия размещаемой ими информации, что в результате привело к снижению значений оценок экспертов по показателям, характеризующим к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ритерий оценки качества  «Открытость и доступность информации об организации социальной сферы». 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Необходимо привести содержание сайтов в надлежащее соответствие с существующей нормативно-правовой базой и ее требованиями, а именно разместить следующую инфо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рмацию на сайтах организаций, осуществляющих образовательную деятельность: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053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825"/>
        <w:gridCol w:w="6705"/>
      </w:tblGrid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дате создания образовательной организации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об учредителе, учредителях образоват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ельной организации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месте нахождения образовательной организации и ее филиалов (при наличии)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режиме, графике работы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58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120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оложениях о структурных подразделениях (об органах управления) с приложением копий указанных положений (при их наличии))*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Муниципальное бюджетное образовательное учреждение дополнительн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7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Свидетельства о государственной аккредитации (с приложениями)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142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ельной организации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276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представителями) несовершеннолетних обучающихся.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1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внутреннего распорядка обучающихся, правила внутреннего трудового распорядка и коллективный договор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7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результатах самообследования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змещена полностью на сайтах всех организаций;</w:t>
            </w:r>
          </w:p>
        </w:tc>
      </w:tr>
      <w:tr w:rsidR="0061157A" w:rsidRPr="0036028F">
        <w:trPr>
          <w:trHeight w:val="7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(при наличии)*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по данному пункту размещена полностью на сайтах всех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организаций;</w:t>
            </w:r>
          </w:p>
        </w:tc>
      </w:tr>
      <w:tr w:rsidR="0061157A" w:rsidRPr="0036028F">
        <w:trPr>
          <w:trHeight w:val="7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реализуемых уровнях образования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формах обучения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нормативных сроках обучения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120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описании образовательных программ с приложением их копий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Башкортостан;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Муниципальное автономное дошкольное образовательное учреждение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развития ребенка - детский сад №28 «Родничок» города Ишимбая муниципального района Ишимбайский район Республики Башкортостан; Муниципальное бюджетное дошкольное образовательное учреждение детский сад «Теремок» общеразвивающего вида села Петровское му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района Ишимбайский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й район Республики Башкортостан;</w:t>
            </w:r>
          </w:p>
        </w:tc>
      </w:tr>
      <w:tr w:rsidR="0061157A" w:rsidRPr="0036028F">
        <w:trPr>
          <w:trHeight w:val="7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календарных учебных графиках с приложением их копий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район Республики Башкортостан;</w:t>
            </w:r>
          </w:p>
        </w:tc>
      </w:tr>
      <w:tr w:rsidR="0061157A" w:rsidRPr="0036028F">
        <w:trPr>
          <w:trHeight w:val="7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Муниципальное бюджетное дошкольное образовательное учреждение д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етский сад «Теремок» общеразвивающего вида села Петровское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7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реализуемых образовательных программах, в том числе о реализуемых адаптированных образовательных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программах, с указани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ем учебных предметов, курсов,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 наличии)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Муниципальное автономное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дошкольное образовательное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центр развития ребенка - детский сад №28 «Родничок» города Ишимбая муниципального района Ишимбайский район Республики Башкортостан; Муниципальное бюджетное дошкольное образовательное учреждение детский сад «Теремок» общеразвивающего вида села Пе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тровское муниципального района Ишимбайский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Ишимбайский район Республики Башкортостан;</w:t>
            </w:r>
          </w:p>
        </w:tc>
      </w:tr>
      <w:tr w:rsidR="0061157A" w:rsidRPr="0036028F">
        <w:trPr>
          <w:trHeight w:val="118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азовании за счет средств физических и (или) юридических лиц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96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языках, на которых осуществляется образование (обучение)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№11 с углубленным изучением отдельных предметов г. Ишимбая муниципального района Ишимбайский район Республики Башкортостан; Муниципальное бюджетное общеобразовательное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 Башкирская гимназия-интернат №2 им. Ахметзаки Валиди г. Ишимбая муниципального района Ишимбайский район Республики Башкортостан; Муниципальное бюджетное общеобразовательное учреждение средняя общеобразовательная школа села Петровское муниципаль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района Ишимбайский район Республики Башкортостан; 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льное автономное дошкольное образовательное учреждение центр развития ребенка - детский сад №28 «Родничок» города Ишимбая муниципального района Ишимбайский район Республики Башкортостан; Муниципальное бюджетное дошкольное образовательное учреждение детский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 «Теремок» общеразвивающего вида села Петровское муниципального района Ишимбайский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г. Ишимбая муниципального района Ишимбайский район Республики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Башкортостан;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 образования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6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федеральных государственных образовательных стандартах и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96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96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142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спорта,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 обучения и воспитания, в том числе приспособленных для использования инвалидами и лицами с ограниченными возможностями здоровья;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автономное дошкольное образовательное учреждение детский сад №23 «Светлячок» общеразвивающего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города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120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обеспечении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Башкирская гимназия-интернат №2 им. Ахметзаки Валиди г. Ишимбая муниципального района Ишимбайский район Республики Башкортостан; Муниципальное бюджетное общеобразовательное учреждение средняя общеобраз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овательная школа села Петровское муниципального района Ишимбайский район Республики Башкортостан; 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тан;</w:t>
            </w:r>
          </w:p>
        </w:tc>
      </w:tr>
      <w:tr w:rsidR="0061157A" w:rsidRPr="0036028F">
        <w:trPr>
          <w:trHeight w:val="72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120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условиях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№23 «Светлячок» общеразвивающего вида города Ишимбая муниципал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 района Ишимбайский район Республики Башкортостан;</w:t>
            </w:r>
          </w:p>
        </w:tc>
      </w:tr>
      <w:tr w:rsidR="0061157A" w:rsidRPr="0036028F">
        <w:trPr>
          <w:trHeight w:val="76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14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 электронных образовательных ресурсах, к которым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№23 «Светлячок» общеразвивающего вида гор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ода Ишимбая муниципального района Ишимбайский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она Ишимбайский район Республики Башкортостан;</w:t>
            </w:r>
          </w:p>
        </w:tc>
      </w:tr>
      <w:tr w:rsidR="0061157A" w:rsidRPr="0036028F">
        <w:trPr>
          <w:trHeight w:val="5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Башкирская гимназия-интернат №2 им. Ахметзаки Валиди г. Ишимбая муниципального района Ишимбайский район Республики Башкортостан; Муниципальное бюджетное общеобразовательное учреждение средняя общеобраз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овательная школа села Петровское муниципального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 Ишимбайский район Республики Башкортостан; 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тан;</w:t>
            </w:r>
          </w:p>
        </w:tc>
      </w:tr>
      <w:tr w:rsidR="0061157A" w:rsidRPr="0036028F">
        <w:trPr>
          <w:trHeight w:val="5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наличии и условиях предоставления обучающимся стипендий, мер социальной поддержки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Муниципальное бюджетное образовательное учреждение дополнительн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120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наличии общежития, интерната, в том числе приспособленных для использования инв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 (при наличии)*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яя общеобразовательная школа №11 с углубленным изучением отдельных предметов г. Ишимбая муниципального района Ишимбайский район Республики Башкортостан; Муниципальное бюджетное общеобразовательное учреждение средняя общеобразовательная школа села Петровско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 муниципального района Ишимбайский район Республики Башкортостан; 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ан; 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48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наличии и порядке оказания платных образовательных услуг (при наличии)*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61157A" w:rsidRPr="0036028F">
        <w:trPr>
          <w:trHeight w:val="120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объеме образовательной деятельности, финансовое обеспечение которой осуществляе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ех организаций;</w:t>
            </w:r>
          </w:p>
        </w:tc>
      </w:tr>
      <w:tr w:rsidR="0061157A" w:rsidRPr="0036028F">
        <w:trPr>
          <w:trHeight w:val="52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№11 с углубленным изучением отдельных предметов г. Ишимбая муниципального района Ишимбайский район Республики Башкортостан; 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 Башкирская гимназия-интернат №2 им. Ахметзаки Валиди г. Ишимбая муниципального района Ишимбайский район Республики Башкортостан; Муниципальное бюджетное общеобразовательное учреждение средняя общеобразовательная школа села Петровское муниципаль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района Ишимбайский район Республики Башкортостан; Муниципальное автономное дошкольное образовательное учреждение детский сад №23 «Светлячок» общеразвивающего вида города Ишимбая муниципального района Ишимбайский район Республики Башкортостан; Муниципа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льное автономное дошкольное образовательное учреждение центр развития ребенка - детский сад №28 «Родничок» города Ишимбая муниципального района Ишимбайский район Республики Башкортостан; Муниципальное бюджетное дошкольное образовательное учреждение детский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 «Теремок» общеразвивающего вида села Петровское муниципального района Ишимбайский район Республики Башкортостан; Муниципальное бюджетное образовательное учреждение дополнительного образования детей (внешкольное учреждение) дворец детского (юношеского)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г. Ишимбая муниципального района Ишимбайский район Республики Башкортостан;</w:t>
            </w:r>
          </w:p>
        </w:tc>
      </w:tr>
      <w:tr w:rsidR="0061157A" w:rsidRPr="0036028F">
        <w:trPr>
          <w:trHeight w:val="1440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(внешкольное учреждение) дворец детского (юношеского) творчества г. Ишимбая муниципального района Ишимбайский район Республики Башкортостан;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Также было проанализировано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наличие на официальных сайтах информации: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- о дистанционных способах обратной связи и взаимодействия с получателями услуг и их функционировании: абонентский номер телефона, 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- о дистанционных способах обратной связи и взаимодействия с получателями услуг и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их функционировании: адрес электронной почты,                                      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дложения), получения консультации по оказываемым услугам, раздел официального сайта «Часто задаваемые вопросы»),                          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- о дистанционных способах обратной связи и взаимодействия с получателями услуг и их функционировании: техническая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выражения получателем услуг мнения о качестве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lastRenderedPageBreak/>
        <w:t>условий оказания услуг организацией социальной сферы (наличие анкеты для опроса граждан или гиперссылки на нее).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Отмечен высокий уровень доступности взаимодействия с получателями образовательных ус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луг по телефону, электронной почте. 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При этом необходимо обеспечить размещение: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50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630"/>
        <w:gridCol w:w="3870"/>
      </w:tblGrid>
      <w:tr w:rsidR="0061157A" w:rsidRPr="0036028F">
        <w:trPr>
          <w:trHeight w:val="2000"/>
        </w:trPr>
        <w:tc>
          <w:tcPr>
            <w:tcW w:w="6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предложения), получения консультации по оказываемым услугам, раздел официального сайта «Часто задаваемые вопросы»)</w:t>
            </w:r>
          </w:p>
        </w:tc>
        <w:tc>
          <w:tcPr>
            <w:tcW w:w="3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hAnsi="Times New Roman" w:cs="Times New Roman"/>
          <w:sz w:val="24"/>
          <w:szCs w:val="24"/>
        </w:rPr>
        <w:br w:type="page"/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4) РЕЗУЛЬТАТЫ СБОРА, ОБОБЩЕНИЯ И АНАЛИЗА ИНФОРМАЦИИ О СООТВЕТСТВИИ СТЕНДОВ УСТАНОВЛЕННЫМ ТРЕБОВАНИЯМ В ЧАСТИ РАЗМЕЩЕНИЯ ОБЯЗАТЕЛЬНОЙ ИНФОРМАЦИИ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Требуемое количество единиц информации для размещения на сайте организации, осуществляющей образовательную деят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ельность - 16: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Информация о месте нахождения образовательной организации и ее филиалов (при наличии)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Информация о режиме, графике работы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Информация о контактных телефонах и об адресах электронной почты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Информация о с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Лицензии на осуществление образовательной деятельности (с приложениями)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Свидетельств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а о государственной аккредитации (с приложениями)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ельной организацией и обучающимися и (или) родителями (законными представителями) несовершеннолетних обучающихся.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Правила внутреннего распорядка обучающихся, правила внутреннего трудового распорядка и коллективный договор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Документ о пор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программе*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Информация об учебных планах реализуемых образовательных программ с приложением их копий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Информация о реализуемых образовательных программах, в том числе о реализуемых адаптированных образовательных программах, с указанием учебных предм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етов, курсов,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-   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     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 заместителей; контактные телефоны; адреса электронной почты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Информация о условиях питания обучающихся, в том числе инвалидов и лиц с ограниченными возможностями здоровья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Информация о наличии и условиях предоставления обучающимся стипендий, мер социальной поддержки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Информация о наличии и порядке оказания платных образовательных услуг (при наличии)*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        Информация о количестве вакантных мест для при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ема (перевода) по каждой образовательной программе, профессии, специальности, направлению подготовки (на места, финансируемые за счет 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lastRenderedPageBreak/>
        <w:t>бюджетных ассигнований федерального бюджета, бюджетов субъектов Российской Федерации, местных бюджетов, по договорам об об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>разовании за счет средств физических и (или) юридических лиц)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Размещенная на стендах информация размещена в соответствии с утвержденным перечнем. 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hAnsi="Times New Roman" w:cs="Times New Roman"/>
          <w:sz w:val="24"/>
          <w:szCs w:val="24"/>
        </w:rPr>
        <w:br w:type="page"/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5) РЕЗУЛЬТАТЫ СБОРА, ОБОБЩЕНИЯ И АНАЛИЗА ИНФОРМАЦИИ </w:t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ОПРОСА ПОТРЕБИТЕЛЕЙ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Данные представ</w:t>
      </w: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лены в целом с учетом анкетирования всех организаций, участвующих в процедуре: 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абсолютные показатели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042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805"/>
        <w:gridCol w:w="1620"/>
      </w:tblGrid>
      <w:tr w:rsidR="0061157A" w:rsidRPr="0036028F">
        <w:trPr>
          <w:trHeight w:val="4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Чобщ - общее число опрошенных получателей услуг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61157A" w:rsidRPr="0036028F">
        <w:trPr>
          <w:trHeight w:val="6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61157A" w:rsidRPr="0036028F">
        <w:trPr>
          <w:trHeight w:val="6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Усайт - число получателей услуг, удовлетворенных открытостью, полнотой и доступностью инф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ормации, размещенной на официальном сайте организации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1775</w:t>
            </w:r>
          </w:p>
        </w:tc>
      </w:tr>
      <w:tr w:rsidR="0061157A" w:rsidRPr="0036028F">
        <w:trPr>
          <w:trHeight w:val="6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Укомф - число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1795</w:t>
            </w:r>
          </w:p>
        </w:tc>
      </w:tr>
      <w:tr w:rsidR="0061157A" w:rsidRPr="0036028F">
        <w:trPr>
          <w:trHeight w:val="6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Чинв - число опрошенных получателей услуг-инвалидов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1157A" w:rsidRPr="0036028F">
        <w:trPr>
          <w:trHeight w:val="6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 - число получателей услуг-инвалидов, удовлетворенных доступностью услуг для инвалидов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1157A" w:rsidRPr="0036028F">
        <w:trPr>
          <w:trHeight w:val="6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Уперв.конт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 услуги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1846</w:t>
            </w:r>
          </w:p>
        </w:tc>
      </w:tr>
      <w:tr w:rsidR="0061157A" w:rsidRPr="0036028F">
        <w:trPr>
          <w:trHeight w:val="6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1860</w:t>
            </w:r>
          </w:p>
        </w:tc>
      </w:tr>
      <w:tr w:rsidR="0061157A" w:rsidRPr="0036028F">
        <w:trPr>
          <w:trHeight w:val="6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Увежл.дист - число получателей услуг, удовлетворенных доброжелате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1846</w:t>
            </w:r>
          </w:p>
        </w:tc>
      </w:tr>
      <w:tr w:rsidR="0061157A" w:rsidRPr="0036028F">
        <w:trPr>
          <w:trHeight w:val="6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1796</w:t>
            </w:r>
          </w:p>
        </w:tc>
      </w:tr>
      <w:tr w:rsidR="0061157A" w:rsidRPr="0036028F">
        <w:trPr>
          <w:trHeight w:val="6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Уорг.усл - число получателей услуг, удовлетворенных организационными условиям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предоставления услуг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1738</w:t>
            </w:r>
          </w:p>
        </w:tc>
      </w:tr>
      <w:tr w:rsidR="0061157A" w:rsidRPr="0036028F">
        <w:trPr>
          <w:trHeight w:val="640"/>
        </w:trPr>
        <w:tc>
          <w:tcPr>
            <w:tcW w:w="8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Ууд - число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1820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>- относительные (расчетные) показатели: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1042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760"/>
        <w:gridCol w:w="1665"/>
      </w:tblGrid>
      <w:tr w:rsidR="0061157A" w:rsidRPr="0036028F">
        <w:trPr>
          <w:trHeight w:val="1220"/>
        </w:trPr>
        <w:tc>
          <w:tcPr>
            <w:tcW w:w="87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сферы</w:t>
            </w:r>
          </w:p>
        </w:tc>
        <w:tc>
          <w:tcPr>
            <w:tcW w:w="16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95,12%</w:t>
            </w:r>
          </w:p>
        </w:tc>
      </w:tr>
      <w:tr w:rsidR="0061157A" w:rsidRPr="0036028F">
        <w:trPr>
          <w:trHeight w:val="640"/>
        </w:trPr>
        <w:tc>
          <w:tcPr>
            <w:tcW w:w="87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получателей услуг удовлетворенных комфортностью предоставления услуг организацией социальной сферы</w:t>
            </w:r>
          </w:p>
        </w:tc>
        <w:tc>
          <w:tcPr>
            <w:tcW w:w="16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91,26%</w:t>
            </w:r>
          </w:p>
        </w:tc>
      </w:tr>
      <w:tr w:rsidR="0061157A" w:rsidRPr="0036028F">
        <w:trPr>
          <w:trHeight w:val="640"/>
        </w:trPr>
        <w:tc>
          <w:tcPr>
            <w:tcW w:w="87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6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70,45%</w:t>
            </w:r>
          </w:p>
        </w:tc>
      </w:tr>
      <w:tr w:rsidR="0061157A" w:rsidRPr="0036028F">
        <w:trPr>
          <w:trHeight w:val="640"/>
        </w:trPr>
        <w:tc>
          <w:tcPr>
            <w:tcW w:w="87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16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93,85%</w:t>
            </w:r>
          </w:p>
        </w:tc>
      </w:tr>
      <w:tr w:rsidR="0061157A" w:rsidRPr="0036028F">
        <w:trPr>
          <w:trHeight w:val="640"/>
        </w:trPr>
        <w:tc>
          <w:tcPr>
            <w:tcW w:w="87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      </w:r>
          </w:p>
        </w:tc>
        <w:tc>
          <w:tcPr>
            <w:tcW w:w="16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94,56%</w:t>
            </w:r>
          </w:p>
        </w:tc>
      </w:tr>
      <w:tr w:rsidR="0061157A" w:rsidRPr="0036028F">
        <w:trPr>
          <w:trHeight w:val="640"/>
        </w:trPr>
        <w:tc>
          <w:tcPr>
            <w:tcW w:w="87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6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93,85%</w:t>
            </w:r>
          </w:p>
        </w:tc>
      </w:tr>
      <w:tr w:rsidR="0061157A" w:rsidRPr="0036028F">
        <w:trPr>
          <w:trHeight w:val="640"/>
        </w:trPr>
        <w:tc>
          <w:tcPr>
            <w:tcW w:w="87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бора организации социальной сферы)</w:t>
            </w:r>
          </w:p>
        </w:tc>
        <w:tc>
          <w:tcPr>
            <w:tcW w:w="16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91,31%</w:t>
            </w:r>
          </w:p>
        </w:tc>
      </w:tr>
      <w:tr w:rsidR="0061157A" w:rsidRPr="0036028F">
        <w:trPr>
          <w:trHeight w:val="640"/>
        </w:trPr>
        <w:tc>
          <w:tcPr>
            <w:tcW w:w="87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88,36%</w:t>
            </w:r>
          </w:p>
        </w:tc>
      </w:tr>
      <w:tr w:rsidR="0061157A" w:rsidRPr="0036028F">
        <w:trPr>
          <w:trHeight w:val="640"/>
        </w:trPr>
        <w:tc>
          <w:tcPr>
            <w:tcW w:w="87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6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92,53%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Минимальные значения получены по показателям: 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1039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745"/>
        <w:gridCol w:w="1650"/>
      </w:tblGrid>
      <w:tr w:rsidR="0061157A" w:rsidRPr="0036028F">
        <w:trPr>
          <w:trHeight w:val="960"/>
        </w:trPr>
        <w:tc>
          <w:tcPr>
            <w:tcW w:w="8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70,45%</w:t>
            </w:r>
          </w:p>
        </w:tc>
      </w:tr>
      <w:tr w:rsidR="0061157A" w:rsidRPr="0036028F">
        <w:trPr>
          <w:trHeight w:val="960"/>
        </w:trPr>
        <w:tc>
          <w:tcPr>
            <w:tcW w:w="8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1157A" w:rsidRPr="0036028F" w:rsidRDefault="008D5134">
            <w:pPr>
              <w:pStyle w:val="normal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hAnsi="Times New Roman" w:cs="Times New Roman"/>
                <w:sz w:val="24"/>
                <w:szCs w:val="24"/>
              </w:rPr>
              <w:t>88,36%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hAnsi="Times New Roman" w:cs="Times New Roman"/>
          <w:sz w:val="24"/>
          <w:szCs w:val="24"/>
        </w:rPr>
        <w:br w:type="page"/>
      </w: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 ОСНОВАНИИ ВЫШЕИЗЛОЖЕННОГО РЕКОМЕНДУЕТСЯ: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1) довести полученные результаты до участников образовательного процесса; 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2) обсудить полученные результаты в педагогических коллективах; 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3)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результатов, в том числе: </w:t>
      </w:r>
    </w:p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105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745"/>
        <w:gridCol w:w="7830"/>
      </w:tblGrid>
      <w:tr w:rsidR="0061157A" w:rsidRPr="0036028F">
        <w:trPr>
          <w:trHeight w:val="1020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разместить необходимую информацию 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официальных сайтах в соответствии с утв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ержденными требованиями, а также информацию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емым услугам, раздел официального сайта «Часто задаваемые вопросы»);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105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730"/>
        <w:gridCol w:w="7845"/>
      </w:tblGrid>
      <w:tr w:rsidR="0061157A" w:rsidRPr="0036028F">
        <w:trPr>
          <w:trHeight w:val="700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3.2. обеспечить комфортные условия оказания услуг: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организации;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05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715"/>
        <w:gridCol w:w="7860"/>
      </w:tblGrid>
      <w:tr w:rsidR="0061157A" w:rsidRPr="0036028F">
        <w:trPr>
          <w:trHeight w:val="1260"/>
        </w:trPr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3.3. принять меры по оборудованию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7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05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700"/>
        <w:gridCol w:w="7875"/>
      </w:tblGrid>
      <w:tr w:rsidR="0061157A" w:rsidRPr="0036028F">
        <w:trPr>
          <w:trHeight w:val="1800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3.4. принять меры по обеспечению условий доступности, позволяющих инвалидам получать услуги наравне с другими:</w:t>
            </w:r>
          </w:p>
        </w:tc>
        <w:tc>
          <w:tcPr>
            <w:tcW w:w="7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1157A" w:rsidRPr="0036028F" w:rsidRDefault="008D5134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информации; дублирование надписей, знаков и иной текстовой и графической инфор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альтернативной версии сайта организации для инвалидов по зрению; помощь, оказываема</w:t>
            </w:r>
            <w:r w:rsidRPr="0036028F"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</w:tr>
    </w:tbl>
    <w:p w:rsidR="0061157A" w:rsidRPr="0036028F" w:rsidRDefault="0061157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57A" w:rsidRPr="0036028F" w:rsidRDefault="008D513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8F">
        <w:rPr>
          <w:rFonts w:ascii="Times New Roman" w:eastAsia="Times New Roman" w:hAnsi="Times New Roman" w:cs="Times New Roman"/>
          <w:sz w:val="24"/>
          <w:szCs w:val="24"/>
        </w:rPr>
        <w:t xml:space="preserve">4. принять во внимание результаты проведенного опроса. </w:t>
      </w:r>
    </w:p>
    <w:sectPr w:rsidR="0061157A" w:rsidRPr="0036028F" w:rsidSect="0061157A">
      <w:headerReference w:type="default" r:id="rId10"/>
      <w:footerReference w:type="default" r:id="rId11"/>
      <w:pgSz w:w="11906" w:h="16838"/>
      <w:pgMar w:top="1133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34" w:rsidRDefault="008D5134" w:rsidP="0061157A">
      <w:pPr>
        <w:spacing w:line="240" w:lineRule="auto"/>
      </w:pPr>
      <w:r>
        <w:separator/>
      </w:r>
    </w:p>
  </w:endnote>
  <w:endnote w:type="continuationSeparator" w:id="1">
    <w:p w:rsidR="008D5134" w:rsidRDefault="008D5134" w:rsidP="00611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57A" w:rsidRDefault="0061157A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34" w:rsidRDefault="008D5134" w:rsidP="0061157A">
      <w:pPr>
        <w:spacing w:line="240" w:lineRule="auto"/>
      </w:pPr>
      <w:r>
        <w:separator/>
      </w:r>
    </w:p>
  </w:footnote>
  <w:footnote w:type="continuationSeparator" w:id="1">
    <w:p w:rsidR="008D5134" w:rsidRDefault="008D5134" w:rsidP="0061157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57A" w:rsidRDefault="0061157A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57A"/>
    <w:rsid w:val="0036028F"/>
    <w:rsid w:val="0061157A"/>
    <w:rsid w:val="008D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115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115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115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115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1157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115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1157A"/>
  </w:style>
  <w:style w:type="table" w:customStyle="1" w:styleId="TableNormal">
    <w:name w:val="Table Normal"/>
    <w:rsid w:val="006115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1157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1157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6115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360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60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9924</Words>
  <Characters>56570</Characters>
  <Application>Microsoft Office Word</Application>
  <DocSecurity>0</DocSecurity>
  <Lines>471</Lines>
  <Paragraphs>132</Paragraphs>
  <ScaleCrop>false</ScaleCrop>
  <Company/>
  <LinksUpToDate>false</LinksUpToDate>
  <CharactersWithSpaces>66362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2020-02-03T06:19:00Z</dcterms:created>
  <dcterms:modified xsi:type="dcterms:W3CDTF">2020-02-03T06:19:00Z</dcterms:modified>
</cp:coreProperties>
</file>